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59E3B" w14:textId="2B3479B8" w:rsidR="00AD1951" w:rsidRPr="00392E7D" w:rsidRDefault="00AD1951" w:rsidP="00950093">
      <w:pPr>
        <w:widowControl/>
        <w:tabs>
          <w:tab w:val="right" w:pos="9360"/>
        </w:tabs>
        <w:wordWrap/>
        <w:autoSpaceDE/>
        <w:autoSpaceDN/>
        <w:jc w:val="left"/>
        <w:rPr>
          <w:rFonts w:ascii="Arial" w:eastAsia="SimSun" w:hAnsi="Arial" w:cs="Arial"/>
          <w:b/>
          <w:kern w:val="0"/>
          <w:sz w:val="28"/>
          <w:szCs w:val="28"/>
          <w:lang w:eastAsia="en-US"/>
        </w:rPr>
      </w:pPr>
      <w:bookmarkStart w:id="0" w:name="OLE_LINK6"/>
      <w:bookmarkStart w:id="1" w:name="OLE_LINK7"/>
      <w:bookmarkStart w:id="2" w:name="OLE_LINK1"/>
      <w:bookmarkStart w:id="3" w:name="OLE_LINK2"/>
      <w:r w:rsidRPr="00392E7D">
        <w:rPr>
          <w:rFonts w:ascii="Arial" w:eastAsia="SimSun" w:hAnsi="Arial" w:cs="Arial"/>
          <w:b/>
          <w:kern w:val="0"/>
          <w:sz w:val="28"/>
          <w:szCs w:val="28"/>
          <w:lang w:eastAsia="en-US"/>
        </w:rPr>
        <w:t xml:space="preserve">3GPP TSG RAN WG1 </w:t>
      </w:r>
      <w:r>
        <w:rPr>
          <w:rFonts w:ascii="Arial" w:eastAsia="SimSun" w:hAnsi="Arial" w:cs="Arial"/>
          <w:b/>
          <w:kern w:val="0"/>
          <w:sz w:val="28"/>
          <w:szCs w:val="28"/>
          <w:lang w:eastAsia="en-US"/>
        </w:rPr>
        <w:t xml:space="preserve">Meeting </w:t>
      </w:r>
      <w:r>
        <w:rPr>
          <w:rFonts w:ascii="Arial" w:eastAsia="MS Mincho" w:hAnsi="Arial" w:cs="Arial"/>
          <w:b/>
          <w:bCs/>
          <w:sz w:val="28"/>
          <w:lang w:eastAsia="ja-JP"/>
        </w:rPr>
        <w:t>#8</w:t>
      </w:r>
      <w:r w:rsidR="0056074B">
        <w:rPr>
          <w:rFonts w:ascii="Arial" w:eastAsia="MS Mincho" w:hAnsi="Arial" w:cs="Arial"/>
          <w:b/>
          <w:bCs/>
          <w:sz w:val="28"/>
          <w:lang w:eastAsia="ja-JP"/>
        </w:rPr>
        <w:t>4</w:t>
      </w:r>
      <w:r>
        <w:rPr>
          <w:rFonts w:ascii="Arial" w:eastAsia="MS Mincho" w:hAnsi="Arial" w:cs="Arial"/>
          <w:b/>
          <w:bCs/>
          <w:sz w:val="28"/>
          <w:lang w:eastAsia="ja-JP"/>
        </w:rPr>
        <w:tab/>
        <w:t xml:space="preserve">                         </w:t>
      </w:r>
      <w:r w:rsidRPr="00AC2FC8">
        <w:rPr>
          <w:rFonts w:ascii="Arial" w:eastAsia="SimSun" w:hAnsi="Arial" w:cs="Arial"/>
          <w:b/>
          <w:kern w:val="0"/>
          <w:sz w:val="28"/>
          <w:szCs w:val="28"/>
          <w:lang w:eastAsia="en-US"/>
        </w:rPr>
        <w:t>R1-</w:t>
      </w:r>
      <w:r w:rsidR="00AC215F" w:rsidRPr="00AC215F">
        <w:rPr>
          <w:rFonts w:ascii="Arial" w:eastAsia="SimSun" w:hAnsi="Arial" w:cs="Arial"/>
          <w:b/>
          <w:kern w:val="0"/>
          <w:sz w:val="28"/>
          <w:szCs w:val="28"/>
          <w:lang w:eastAsia="en-US"/>
        </w:rPr>
        <w:t>1608</w:t>
      </w:r>
      <w:bookmarkStart w:id="4" w:name="_GoBack"/>
      <w:bookmarkEnd w:id="4"/>
      <w:r w:rsidR="00AC215F" w:rsidRPr="00AC215F">
        <w:rPr>
          <w:rFonts w:ascii="Arial" w:eastAsia="SimSun" w:hAnsi="Arial" w:cs="Arial"/>
          <w:b/>
          <w:kern w:val="0"/>
          <w:sz w:val="28"/>
          <w:szCs w:val="28"/>
          <w:lang w:eastAsia="en-US"/>
        </w:rPr>
        <w:t>79</w:t>
      </w:r>
    </w:p>
    <w:bookmarkEnd w:id="2"/>
    <w:bookmarkEnd w:id="3"/>
    <w:p w14:paraId="461426EF" w14:textId="77777777" w:rsidR="00AD1951" w:rsidRPr="00347EA1" w:rsidRDefault="00AD1951" w:rsidP="00AD1951">
      <w:pPr>
        <w:pStyle w:val="Header"/>
        <w:spacing w:before="120"/>
        <w:rPr>
          <w:rFonts w:ascii="Arial" w:eastAsia="MS Mincho" w:hAnsi="Arial" w:cs="Arial"/>
          <w:b/>
          <w:bCs/>
          <w:sz w:val="24"/>
          <w:lang w:eastAsia="ja-JP"/>
        </w:rPr>
      </w:pPr>
      <w:r w:rsidRPr="00AE4D7C">
        <w:rPr>
          <w:rFonts w:ascii="Arial" w:eastAsia="MS Mincho" w:hAnsi="Arial" w:cs="Arial"/>
          <w:b/>
          <w:bCs/>
          <w:sz w:val="24"/>
          <w:lang w:eastAsia="ja-JP"/>
        </w:rPr>
        <w:t>St Julian’s,</w:t>
      </w:r>
      <w:r>
        <w:rPr>
          <w:rFonts w:ascii="Arial" w:eastAsia="MS Mincho" w:hAnsi="Arial" w:cs="Arial"/>
          <w:b/>
          <w:bCs/>
          <w:sz w:val="28"/>
          <w:lang w:eastAsia="ja-JP"/>
        </w:rPr>
        <w:t xml:space="preserve"> </w:t>
      </w:r>
      <w:r>
        <w:rPr>
          <w:rFonts w:ascii="Arial" w:eastAsia="MS Mincho" w:hAnsi="Arial" w:cs="Arial"/>
          <w:b/>
          <w:bCs/>
          <w:sz w:val="24"/>
          <w:lang w:eastAsia="ja-JP"/>
        </w:rPr>
        <w:t>Malta</w:t>
      </w:r>
      <w:r w:rsidRPr="00347EA1">
        <w:rPr>
          <w:rFonts w:ascii="Arial" w:eastAsia="MS Mincho" w:hAnsi="Arial" w:cs="Arial"/>
          <w:b/>
          <w:bCs/>
          <w:sz w:val="24"/>
          <w:lang w:eastAsia="ja-JP"/>
        </w:rPr>
        <w:t xml:space="preserve"> </w:t>
      </w:r>
    </w:p>
    <w:p w14:paraId="0E266F13" w14:textId="77777777" w:rsidR="00AD1951" w:rsidRPr="00347EA1" w:rsidRDefault="00AD1951" w:rsidP="00AD1951">
      <w:pPr>
        <w:pStyle w:val="Header"/>
        <w:spacing w:before="120"/>
        <w:rPr>
          <w:rFonts w:ascii="Arial" w:eastAsia="MS Mincho" w:hAnsi="Arial" w:cs="Arial"/>
          <w:b/>
          <w:bCs/>
          <w:kern w:val="0"/>
          <w:sz w:val="24"/>
          <w:lang w:eastAsia="ja-JP"/>
        </w:rPr>
      </w:pPr>
      <w:r w:rsidRPr="00347EA1">
        <w:rPr>
          <w:rFonts w:ascii="Arial" w:eastAsia="MS Mincho" w:hAnsi="Arial" w:cs="Arial"/>
          <w:b/>
          <w:bCs/>
          <w:sz w:val="24"/>
          <w:lang w:eastAsia="ja-JP"/>
        </w:rPr>
        <w:t>1</w:t>
      </w:r>
      <w:r>
        <w:rPr>
          <w:rFonts w:ascii="Arial" w:eastAsia="MS Mincho" w:hAnsi="Arial" w:cs="Arial"/>
          <w:b/>
          <w:bCs/>
          <w:sz w:val="24"/>
          <w:lang w:eastAsia="ja-JP"/>
        </w:rPr>
        <w:t>5</w:t>
      </w:r>
      <w:r w:rsidRPr="00347EA1">
        <w:rPr>
          <w:rFonts w:ascii="Arial" w:eastAsia="MS Mincho" w:hAnsi="Arial" w:cs="Arial"/>
          <w:b/>
          <w:bCs/>
          <w:sz w:val="24"/>
          <w:vertAlign w:val="superscript"/>
          <w:lang w:eastAsia="ja-JP"/>
        </w:rPr>
        <w:t>th</w:t>
      </w:r>
      <w:r w:rsidRPr="00347EA1">
        <w:rPr>
          <w:rFonts w:ascii="Arial" w:eastAsia="MS Mincho" w:hAnsi="Arial" w:cs="Arial"/>
          <w:b/>
          <w:bCs/>
          <w:sz w:val="24"/>
          <w:lang w:eastAsia="ja-JP"/>
        </w:rPr>
        <w:t xml:space="preserve"> - </w:t>
      </w:r>
      <w:r>
        <w:rPr>
          <w:rFonts w:ascii="Arial" w:eastAsia="MS Mincho" w:hAnsi="Arial" w:cs="Arial"/>
          <w:b/>
          <w:bCs/>
          <w:sz w:val="24"/>
          <w:lang w:eastAsia="ja-JP"/>
        </w:rPr>
        <w:t>19</w:t>
      </w:r>
      <w:r w:rsidRPr="00347EA1">
        <w:rPr>
          <w:rFonts w:ascii="Arial" w:eastAsia="MS Mincho" w:hAnsi="Arial" w:cs="Arial"/>
          <w:b/>
          <w:bCs/>
          <w:sz w:val="24"/>
          <w:vertAlign w:val="superscript"/>
          <w:lang w:eastAsia="ja-JP"/>
        </w:rPr>
        <w:t>th</w:t>
      </w:r>
      <w:r w:rsidRPr="00347EA1">
        <w:rPr>
          <w:rFonts w:ascii="Arial" w:eastAsia="MS Mincho" w:hAnsi="Arial" w:cs="Arial"/>
          <w:b/>
          <w:bCs/>
          <w:sz w:val="24"/>
          <w:lang w:eastAsia="ja-JP"/>
        </w:rPr>
        <w:t xml:space="preserve"> </w:t>
      </w:r>
      <w:r>
        <w:rPr>
          <w:rFonts w:ascii="Arial" w:eastAsia="MS Mincho" w:hAnsi="Arial" w:cs="Arial"/>
          <w:b/>
          <w:bCs/>
          <w:sz w:val="24"/>
          <w:lang w:eastAsia="ja-JP"/>
        </w:rPr>
        <w:t>February</w:t>
      </w:r>
      <w:r w:rsidRPr="00347EA1">
        <w:rPr>
          <w:rFonts w:ascii="Arial" w:eastAsia="MS Mincho" w:hAnsi="Arial" w:cs="Arial"/>
          <w:b/>
          <w:bCs/>
          <w:sz w:val="24"/>
          <w:lang w:eastAsia="ja-JP"/>
        </w:rPr>
        <w:t xml:space="preserve">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70DD2D47"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AD1951">
        <w:rPr>
          <w:rFonts w:ascii="Arial" w:hAnsi="Arial" w:cs="Arial"/>
          <w:snapToGrid w:val="0"/>
          <w:sz w:val="24"/>
        </w:rPr>
        <w:t>7.</w:t>
      </w:r>
      <w:r w:rsidR="00347EA1">
        <w:rPr>
          <w:rFonts w:ascii="Arial" w:hAnsi="Arial" w:cs="Arial"/>
          <w:snapToGrid w:val="0"/>
          <w:sz w:val="24"/>
        </w:rPr>
        <w:t>2.1.1.</w:t>
      </w:r>
      <w:r w:rsidR="0038785A">
        <w:rPr>
          <w:rFonts w:ascii="Arial" w:hAnsi="Arial" w:cs="Arial"/>
          <w:snapToGrid w:val="0"/>
          <w:sz w:val="24"/>
        </w:rPr>
        <w:t>5</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6B53F872"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38785A">
        <w:rPr>
          <w:rFonts w:ascii="Arial" w:hAnsi="Arial" w:cs="Arial"/>
          <w:snapToGrid w:val="0"/>
          <w:sz w:val="24"/>
        </w:rPr>
        <w:t>Reference Signal Design</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02FE2C14" w14:textId="545ED0C0" w:rsidR="00646A9D" w:rsidRDefault="004A0CDC" w:rsidP="006A53EE">
      <w:pPr>
        <w:pStyle w:val="LGTdoc0"/>
        <w:spacing w:afterLines="0" w:after="120" w:line="240" w:lineRule="auto"/>
        <w:rPr>
          <w:szCs w:val="22"/>
          <w:lang w:val="en-US"/>
        </w:rPr>
      </w:pPr>
      <w:r w:rsidRPr="00CA1170">
        <w:rPr>
          <w:szCs w:val="22"/>
          <w:lang w:val="en-US"/>
        </w:rPr>
        <w:t xml:space="preserve">In </w:t>
      </w:r>
      <w:r w:rsidR="009A54BD">
        <w:rPr>
          <w:szCs w:val="22"/>
          <w:lang w:val="en-US"/>
        </w:rPr>
        <w:t>R</w:t>
      </w:r>
      <w:r w:rsidR="00AC5ECA">
        <w:rPr>
          <w:szCs w:val="22"/>
          <w:lang w:val="en-US"/>
        </w:rPr>
        <w:t>AN</w:t>
      </w:r>
      <w:r w:rsidR="000A397A">
        <w:rPr>
          <w:szCs w:val="22"/>
          <w:lang w:val="en-US"/>
        </w:rPr>
        <w:t>1</w:t>
      </w:r>
      <w:r w:rsidR="00AD1951">
        <w:rPr>
          <w:szCs w:val="22"/>
          <w:lang w:val="en-US"/>
        </w:rPr>
        <w:t xml:space="preserve"> NB-</w:t>
      </w:r>
      <w:proofErr w:type="spellStart"/>
      <w:r w:rsidR="00AD1951">
        <w:rPr>
          <w:szCs w:val="22"/>
          <w:lang w:val="en-US"/>
        </w:rPr>
        <w:t>IoT</w:t>
      </w:r>
      <w:proofErr w:type="spellEnd"/>
      <w:r w:rsidR="00AD1951">
        <w:rPr>
          <w:szCs w:val="22"/>
          <w:lang w:val="en-US"/>
        </w:rPr>
        <w:t xml:space="preserve"> Ad-hoc</w:t>
      </w:r>
      <w:r w:rsidR="009A54BD">
        <w:rPr>
          <w:szCs w:val="22"/>
          <w:lang w:val="en-US"/>
        </w:rPr>
        <w:t xml:space="preserve">, </w:t>
      </w:r>
      <w:r w:rsidR="000A397A">
        <w:rPr>
          <w:szCs w:val="22"/>
          <w:lang w:val="en-US"/>
        </w:rPr>
        <w:t xml:space="preserve">the following </w:t>
      </w:r>
      <w:r w:rsidR="00F66672">
        <w:rPr>
          <w:szCs w:val="22"/>
          <w:lang w:val="en-US"/>
        </w:rPr>
        <w:t>agreements have been made</w:t>
      </w:r>
      <w:r w:rsidR="00A56AC7">
        <w:rPr>
          <w:szCs w:val="22"/>
          <w:lang w:val="en-US"/>
        </w:rPr>
        <w:t>:</w:t>
      </w:r>
      <w:r w:rsidR="005107DF">
        <w:rPr>
          <w:szCs w:val="22"/>
          <w:lang w:val="en-US"/>
        </w:rPr>
        <w:t xml:space="preserve"> </w:t>
      </w:r>
    </w:p>
    <w:p w14:paraId="6BEDBBC7" w14:textId="77777777" w:rsidR="008135E6" w:rsidRDefault="008135E6" w:rsidP="006A53EE">
      <w:pPr>
        <w:pStyle w:val="LGTdoc0"/>
        <w:spacing w:afterLines="0" w:after="120" w:line="240" w:lineRule="auto"/>
        <w:rPr>
          <w:szCs w:val="22"/>
          <w:lang w:val="en-US"/>
        </w:rPr>
      </w:pPr>
    </w:p>
    <w:p w14:paraId="1A49AA33" w14:textId="77777777" w:rsidR="004C2CDA" w:rsidRDefault="004C2CDA" w:rsidP="004C2CDA">
      <w:pPr>
        <w:rPr>
          <w:b/>
          <w:szCs w:val="20"/>
          <w:u w:val="single"/>
        </w:rPr>
      </w:pPr>
      <w:r>
        <w:rPr>
          <w:b/>
          <w:szCs w:val="20"/>
          <w:highlight w:val="green"/>
          <w:u w:val="single"/>
        </w:rPr>
        <w:t>Agreements:</w:t>
      </w:r>
    </w:p>
    <w:p w14:paraId="2790E443" w14:textId="080077B5" w:rsidR="00AD1951" w:rsidRPr="00AD1951" w:rsidRDefault="00AD1951" w:rsidP="00AD1951">
      <w:pPr>
        <w:widowControl/>
        <w:numPr>
          <w:ilvl w:val="0"/>
          <w:numId w:val="40"/>
        </w:numPr>
        <w:wordWrap/>
        <w:autoSpaceDE/>
        <w:autoSpaceDN/>
        <w:ind w:left="840"/>
        <w:jc w:val="left"/>
        <w:rPr>
          <w:rFonts w:ascii="Times New Roman"/>
          <w:sz w:val="22"/>
          <w:szCs w:val="22"/>
        </w:rPr>
      </w:pPr>
      <w:r w:rsidRPr="00AD1951">
        <w:rPr>
          <w:rFonts w:ascii="Times New Roman"/>
          <w:sz w:val="22"/>
          <w:szCs w:val="22"/>
        </w:rPr>
        <w:t>A NB-RS is used at least for NB-PBCH and that is common among all operation modes</w:t>
      </w:r>
    </w:p>
    <w:p w14:paraId="7C91ACF0" w14:textId="77777777" w:rsidR="00AD1951" w:rsidRPr="00AD1951" w:rsidRDefault="00AD1951" w:rsidP="00AD1951">
      <w:pPr>
        <w:widowControl/>
        <w:numPr>
          <w:ilvl w:val="0"/>
          <w:numId w:val="40"/>
        </w:numPr>
        <w:wordWrap/>
        <w:autoSpaceDE/>
        <w:autoSpaceDN/>
        <w:ind w:left="840"/>
        <w:jc w:val="left"/>
        <w:rPr>
          <w:rFonts w:ascii="Times New Roman"/>
          <w:sz w:val="22"/>
          <w:szCs w:val="22"/>
        </w:rPr>
      </w:pPr>
      <w:r w:rsidRPr="00AD1951">
        <w:rPr>
          <w:rFonts w:ascii="Times New Roman"/>
          <w:sz w:val="22"/>
          <w:szCs w:val="22"/>
        </w:rPr>
        <w:t>At least NB-RS is always present and always used for single antenna port and 2 antenna ports transmission schemes</w:t>
      </w:r>
    </w:p>
    <w:p w14:paraId="7BA478C8" w14:textId="77777777" w:rsidR="00AD1951" w:rsidRPr="00AD1951" w:rsidRDefault="00AD1951" w:rsidP="00AD1951">
      <w:pPr>
        <w:widowControl/>
        <w:numPr>
          <w:ilvl w:val="1"/>
          <w:numId w:val="40"/>
        </w:numPr>
        <w:wordWrap/>
        <w:autoSpaceDE/>
        <w:autoSpaceDN/>
        <w:ind w:left="1260"/>
        <w:jc w:val="left"/>
        <w:rPr>
          <w:rFonts w:ascii="Times New Roman"/>
          <w:sz w:val="22"/>
          <w:szCs w:val="22"/>
        </w:rPr>
      </w:pPr>
      <w:r w:rsidRPr="00AD1951">
        <w:rPr>
          <w:rFonts w:ascii="Times New Roman"/>
          <w:sz w:val="22"/>
          <w:szCs w:val="22"/>
        </w:rPr>
        <w:t>FFS: Additional utilization of LTE CRS in in-band operation mode</w:t>
      </w:r>
    </w:p>
    <w:p w14:paraId="6FBA8BC3" w14:textId="77777777" w:rsidR="00AD1951" w:rsidRPr="00AD1951" w:rsidRDefault="00AD1951" w:rsidP="00AD1951">
      <w:pPr>
        <w:widowControl/>
        <w:numPr>
          <w:ilvl w:val="0"/>
          <w:numId w:val="40"/>
        </w:numPr>
        <w:wordWrap/>
        <w:autoSpaceDE/>
        <w:autoSpaceDN/>
        <w:ind w:left="840"/>
        <w:jc w:val="left"/>
        <w:rPr>
          <w:rFonts w:ascii="Times New Roman"/>
          <w:sz w:val="22"/>
          <w:szCs w:val="22"/>
        </w:rPr>
      </w:pPr>
      <w:r w:rsidRPr="00AD1951">
        <w:rPr>
          <w:rFonts w:ascii="Times New Roman"/>
          <w:sz w:val="22"/>
          <w:szCs w:val="22"/>
        </w:rPr>
        <w:t>For NB-PDCCH/NB-PDSCH,</w:t>
      </w:r>
    </w:p>
    <w:p w14:paraId="6290A276" w14:textId="77777777" w:rsidR="00AD1951" w:rsidRPr="00AD1951" w:rsidRDefault="00AD1951" w:rsidP="00AD1951">
      <w:pPr>
        <w:widowControl/>
        <w:numPr>
          <w:ilvl w:val="1"/>
          <w:numId w:val="39"/>
        </w:numPr>
        <w:tabs>
          <w:tab w:val="clear" w:pos="1440"/>
          <w:tab w:val="num" w:pos="1860"/>
        </w:tabs>
        <w:wordWrap/>
        <w:autoSpaceDE/>
        <w:autoSpaceDN/>
        <w:ind w:left="1860"/>
        <w:jc w:val="left"/>
        <w:rPr>
          <w:rFonts w:ascii="Times New Roman"/>
          <w:sz w:val="22"/>
          <w:szCs w:val="22"/>
        </w:rPr>
      </w:pPr>
      <w:r w:rsidRPr="00AD1951">
        <w:rPr>
          <w:rFonts w:ascii="Times New Roman"/>
          <w:sz w:val="22"/>
          <w:szCs w:val="22"/>
        </w:rPr>
        <w:t>In-band operation</w:t>
      </w:r>
    </w:p>
    <w:p w14:paraId="61B574FD" w14:textId="77777777" w:rsidR="00AD1951" w:rsidRPr="00AD1951" w:rsidRDefault="00AD1951" w:rsidP="00AD1951">
      <w:pPr>
        <w:widowControl/>
        <w:numPr>
          <w:ilvl w:val="2"/>
          <w:numId w:val="39"/>
        </w:numPr>
        <w:tabs>
          <w:tab w:val="clear" w:pos="2160"/>
          <w:tab w:val="num" w:pos="2580"/>
        </w:tabs>
        <w:wordWrap/>
        <w:autoSpaceDE/>
        <w:autoSpaceDN/>
        <w:ind w:left="2580"/>
        <w:jc w:val="left"/>
        <w:rPr>
          <w:rFonts w:ascii="Times New Roman"/>
          <w:sz w:val="22"/>
          <w:szCs w:val="22"/>
        </w:rPr>
      </w:pPr>
      <w:r w:rsidRPr="00AD1951">
        <w:rPr>
          <w:rFonts w:ascii="Times New Roman"/>
          <w:sz w:val="22"/>
          <w:szCs w:val="22"/>
        </w:rPr>
        <w:t>NB-RS is present without condition</w:t>
      </w:r>
    </w:p>
    <w:p w14:paraId="0955EBE0" w14:textId="77777777" w:rsidR="00AD1951" w:rsidRPr="00AD1951" w:rsidRDefault="00AD1951" w:rsidP="00AD1951">
      <w:pPr>
        <w:widowControl/>
        <w:numPr>
          <w:ilvl w:val="1"/>
          <w:numId w:val="39"/>
        </w:numPr>
        <w:tabs>
          <w:tab w:val="clear" w:pos="1440"/>
          <w:tab w:val="num" w:pos="1860"/>
        </w:tabs>
        <w:wordWrap/>
        <w:autoSpaceDE/>
        <w:autoSpaceDN/>
        <w:ind w:left="1860"/>
        <w:jc w:val="left"/>
        <w:rPr>
          <w:rFonts w:ascii="Times New Roman"/>
          <w:sz w:val="22"/>
          <w:szCs w:val="22"/>
        </w:rPr>
      </w:pPr>
      <w:r w:rsidRPr="00AD1951">
        <w:rPr>
          <w:rFonts w:ascii="Times New Roman"/>
          <w:sz w:val="22"/>
          <w:szCs w:val="22"/>
        </w:rPr>
        <w:t>Stand-alone and guard-band operations</w:t>
      </w:r>
    </w:p>
    <w:p w14:paraId="40469B4F" w14:textId="77777777" w:rsidR="00AD1951" w:rsidRPr="00AD1951" w:rsidRDefault="00AD1951" w:rsidP="00AD1951">
      <w:pPr>
        <w:widowControl/>
        <w:numPr>
          <w:ilvl w:val="2"/>
          <w:numId w:val="39"/>
        </w:numPr>
        <w:tabs>
          <w:tab w:val="clear" w:pos="2160"/>
          <w:tab w:val="num" w:pos="2580"/>
        </w:tabs>
        <w:wordWrap/>
        <w:autoSpaceDE/>
        <w:autoSpaceDN/>
        <w:ind w:left="2580"/>
        <w:jc w:val="left"/>
        <w:rPr>
          <w:rFonts w:ascii="Times New Roman"/>
          <w:sz w:val="22"/>
          <w:szCs w:val="22"/>
        </w:rPr>
      </w:pPr>
      <w:r w:rsidRPr="00AD1951">
        <w:rPr>
          <w:rFonts w:ascii="Times New Roman"/>
          <w:sz w:val="22"/>
          <w:szCs w:val="22"/>
        </w:rPr>
        <w:t>Only NB-RS is used</w:t>
      </w:r>
    </w:p>
    <w:p w14:paraId="26573154" w14:textId="77777777" w:rsidR="004C2CDA" w:rsidRDefault="004C2CDA" w:rsidP="006A53EE">
      <w:pPr>
        <w:pStyle w:val="LGTdoc0"/>
        <w:spacing w:afterLines="0" w:after="120" w:line="240" w:lineRule="auto"/>
        <w:rPr>
          <w:szCs w:val="22"/>
          <w:lang w:val="en-US"/>
        </w:rPr>
      </w:pPr>
    </w:p>
    <w:p w14:paraId="7A0C2CCB" w14:textId="2925D559" w:rsidR="007748F7" w:rsidRDefault="005107DF" w:rsidP="007748F7">
      <w:pPr>
        <w:pStyle w:val="BodyText"/>
        <w:spacing w:after="120"/>
        <w:rPr>
          <w:rFonts w:eastAsia="SimSun"/>
          <w:lang w:eastAsia="zh-CN"/>
        </w:rPr>
      </w:pPr>
      <w:r w:rsidRPr="005107DF">
        <w:rPr>
          <w:szCs w:val="22"/>
        </w:rPr>
        <w:t>In this contribution,</w:t>
      </w:r>
      <w:r w:rsidR="0010698B">
        <w:rPr>
          <w:szCs w:val="22"/>
        </w:rPr>
        <w:t xml:space="preserve"> we provide our view on the </w:t>
      </w:r>
      <w:r w:rsidR="00F55A00">
        <w:rPr>
          <w:szCs w:val="22"/>
        </w:rPr>
        <w:t>reference signal design</w:t>
      </w:r>
      <w:r w:rsidR="00B41F98">
        <w:rPr>
          <w:szCs w:val="22"/>
        </w:rPr>
        <w:t xml:space="preserve"> for</w:t>
      </w:r>
      <w:r w:rsidR="0052060A">
        <w:rPr>
          <w:szCs w:val="22"/>
        </w:rPr>
        <w:t xml:space="preserve"> NB-</w:t>
      </w:r>
      <w:proofErr w:type="spellStart"/>
      <w:r w:rsidR="0052060A">
        <w:rPr>
          <w:szCs w:val="22"/>
        </w:rPr>
        <w:t>IoT</w:t>
      </w:r>
      <w:proofErr w:type="spellEnd"/>
      <w:r w:rsidR="00B41F98">
        <w:rPr>
          <w:szCs w:val="22"/>
        </w:rPr>
        <w:t>.</w:t>
      </w:r>
    </w:p>
    <w:p w14:paraId="401F5A50" w14:textId="77777777" w:rsidR="005107DF" w:rsidRPr="005107DF" w:rsidRDefault="005107DF" w:rsidP="005107DF">
      <w:pPr>
        <w:pStyle w:val="LGTdoc0"/>
        <w:spacing w:afterLines="0" w:after="120" w:line="240" w:lineRule="auto"/>
        <w:rPr>
          <w:szCs w:val="22"/>
          <w:lang w:val="en-US"/>
        </w:rPr>
      </w:pPr>
    </w:p>
    <w:p w14:paraId="0DD87E91" w14:textId="0DDC7A50" w:rsidR="00547160" w:rsidRDefault="001F5289"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Design Considerations for </w:t>
      </w:r>
      <w:r w:rsidR="00B41F98">
        <w:rPr>
          <w:rFonts w:ascii="Arial" w:hAnsi="Arial" w:cs="Arial"/>
          <w:lang w:val="en-US"/>
        </w:rPr>
        <w:t>NB</w:t>
      </w:r>
      <w:r w:rsidR="0038785A">
        <w:rPr>
          <w:rFonts w:ascii="Arial" w:hAnsi="Arial" w:cs="Arial"/>
          <w:lang w:val="en-US"/>
        </w:rPr>
        <w:t>-</w:t>
      </w:r>
      <w:proofErr w:type="spellStart"/>
      <w:r w:rsidR="0038785A">
        <w:rPr>
          <w:rFonts w:ascii="Arial" w:hAnsi="Arial" w:cs="Arial"/>
          <w:lang w:val="en-US"/>
        </w:rPr>
        <w:t>IoT</w:t>
      </w:r>
      <w:proofErr w:type="spellEnd"/>
      <w:r w:rsidR="0038785A">
        <w:rPr>
          <w:rFonts w:ascii="Arial" w:hAnsi="Arial" w:cs="Arial"/>
          <w:lang w:val="en-US"/>
        </w:rPr>
        <w:t xml:space="preserve"> Reference Signals</w:t>
      </w:r>
    </w:p>
    <w:p w14:paraId="37E1B9FE" w14:textId="61191FAC" w:rsidR="005F038F" w:rsidRDefault="005F038F" w:rsidP="005F038F">
      <w:pPr>
        <w:pStyle w:val="LGTdoc1"/>
        <w:spacing w:beforeLines="0" w:before="120" w:after="220" w:afterAutospacing="0"/>
        <w:rPr>
          <w:b w:val="0"/>
          <w:sz w:val="22"/>
          <w:szCs w:val="22"/>
          <w:lang w:val="en-US"/>
        </w:rPr>
      </w:pPr>
      <w:r w:rsidRPr="005F038F">
        <w:rPr>
          <w:b w:val="0"/>
          <w:sz w:val="22"/>
          <w:szCs w:val="22"/>
          <w:lang w:val="en-US"/>
        </w:rPr>
        <w:t>Due to the narrowband nature of NB-</w:t>
      </w:r>
      <w:proofErr w:type="spellStart"/>
      <w:r w:rsidRPr="005F038F">
        <w:rPr>
          <w:b w:val="0"/>
          <w:sz w:val="22"/>
          <w:szCs w:val="22"/>
          <w:lang w:val="en-US"/>
        </w:rPr>
        <w:t>IoT</w:t>
      </w:r>
      <w:proofErr w:type="spellEnd"/>
      <w:r w:rsidRPr="005F038F">
        <w:rPr>
          <w:b w:val="0"/>
          <w:sz w:val="22"/>
          <w:szCs w:val="22"/>
          <w:lang w:val="en-US"/>
        </w:rPr>
        <w:t xml:space="preserve"> deployments</w:t>
      </w:r>
      <w:r>
        <w:rPr>
          <w:b w:val="0"/>
          <w:sz w:val="22"/>
          <w:szCs w:val="22"/>
          <w:lang w:val="en-US"/>
        </w:rPr>
        <w:t>, new reference signals are needed for channel estimation, tracking and demodulation. Although in in-band deployments the wideband CRS might be used, the UE would need to know the location of the RB in the wideband LTE channel, which would require explicit signaling. Moreover, the power of wideband CRS cannot be increased in the NB-</w:t>
      </w:r>
      <w:proofErr w:type="spellStart"/>
      <w:r>
        <w:rPr>
          <w:b w:val="0"/>
          <w:sz w:val="22"/>
          <w:szCs w:val="22"/>
          <w:lang w:val="en-US"/>
        </w:rPr>
        <w:t>IoT</w:t>
      </w:r>
      <w:proofErr w:type="spellEnd"/>
      <w:r>
        <w:rPr>
          <w:b w:val="0"/>
          <w:sz w:val="22"/>
          <w:szCs w:val="22"/>
          <w:lang w:val="en-US"/>
        </w:rPr>
        <w:t xml:space="preserve"> region, so it might be difficult to achieve 164dB MCL with this reduced PSD reference signal. </w:t>
      </w:r>
    </w:p>
    <w:p w14:paraId="106A61FA" w14:textId="331EC2AA" w:rsidR="005F038F" w:rsidRDefault="005F038F" w:rsidP="005F038F">
      <w:pPr>
        <w:pStyle w:val="LGTdoc1"/>
        <w:spacing w:beforeLines="0" w:before="120" w:after="220" w:afterAutospacing="0"/>
        <w:rPr>
          <w:b w:val="0"/>
          <w:sz w:val="22"/>
          <w:szCs w:val="22"/>
          <w:lang w:val="en-US"/>
        </w:rPr>
      </w:pPr>
      <w:r>
        <w:rPr>
          <w:b w:val="0"/>
          <w:sz w:val="22"/>
          <w:szCs w:val="22"/>
          <w:lang w:val="en-US"/>
        </w:rPr>
        <w:t>We propose to add a new cell-specific reference signal for NB-</w:t>
      </w:r>
      <w:proofErr w:type="spellStart"/>
      <w:r>
        <w:rPr>
          <w:b w:val="0"/>
          <w:sz w:val="22"/>
          <w:szCs w:val="22"/>
          <w:lang w:val="en-US"/>
        </w:rPr>
        <w:t>IoT</w:t>
      </w:r>
      <w:proofErr w:type="spellEnd"/>
      <w:r w:rsidR="00B33780">
        <w:rPr>
          <w:b w:val="0"/>
          <w:sz w:val="22"/>
          <w:szCs w:val="22"/>
          <w:lang w:val="en-US"/>
        </w:rPr>
        <w:t>. Due to the low-complexity requirement of NB-</w:t>
      </w:r>
      <w:proofErr w:type="spellStart"/>
      <w:r w:rsidR="00B33780">
        <w:rPr>
          <w:b w:val="0"/>
          <w:sz w:val="22"/>
          <w:szCs w:val="22"/>
          <w:lang w:val="en-US"/>
        </w:rPr>
        <w:t>IoT</w:t>
      </w:r>
      <w:proofErr w:type="spellEnd"/>
      <w:r w:rsidR="00B33780">
        <w:rPr>
          <w:b w:val="0"/>
          <w:sz w:val="22"/>
          <w:szCs w:val="22"/>
          <w:lang w:val="en-US"/>
        </w:rPr>
        <w:t xml:space="preserve"> UE, all downlink physical channels should use this reference signal for demodulation (i.e., no UE specific reference signals are introduced), since adding additional signals would increase the hardware complexity of the UE (e.g., they need to implement more than one channel estimation and demodulation).</w:t>
      </w:r>
    </w:p>
    <w:p w14:paraId="55508821" w14:textId="591A7B4D" w:rsidR="0038785A" w:rsidRDefault="0038785A" w:rsidP="0038785A">
      <w:pPr>
        <w:pStyle w:val="LGTdoc1"/>
        <w:spacing w:beforeLines="0" w:before="120" w:after="220" w:afterAutospacing="0"/>
        <w:rPr>
          <w:b w:val="0"/>
          <w:sz w:val="22"/>
          <w:szCs w:val="22"/>
          <w:lang w:val="en-US"/>
        </w:rPr>
      </w:pPr>
      <w:r w:rsidRPr="00173008">
        <w:rPr>
          <w:sz w:val="22"/>
          <w:szCs w:val="22"/>
          <w:u w:val="single"/>
          <w:lang w:val="en-US"/>
        </w:rPr>
        <w:t>Proposal 1:</w:t>
      </w:r>
      <w:r w:rsidRPr="0038785A">
        <w:rPr>
          <w:b w:val="0"/>
          <w:sz w:val="22"/>
          <w:szCs w:val="22"/>
          <w:lang w:val="en-US"/>
        </w:rPr>
        <w:t xml:space="preserve"> Introduce new cell specific reference signal for NB-</w:t>
      </w:r>
      <w:proofErr w:type="spellStart"/>
      <w:r w:rsidRPr="0038785A">
        <w:rPr>
          <w:b w:val="0"/>
          <w:sz w:val="22"/>
          <w:szCs w:val="22"/>
          <w:lang w:val="en-US"/>
        </w:rPr>
        <w:t>IoT</w:t>
      </w:r>
      <w:proofErr w:type="spellEnd"/>
      <w:r>
        <w:rPr>
          <w:b w:val="0"/>
          <w:sz w:val="22"/>
          <w:szCs w:val="22"/>
          <w:lang w:val="en-US"/>
        </w:rPr>
        <w:t xml:space="preserve">. All </w:t>
      </w:r>
      <w:r w:rsidR="00FA1F67">
        <w:rPr>
          <w:b w:val="0"/>
          <w:sz w:val="22"/>
          <w:szCs w:val="22"/>
          <w:lang w:val="en-US"/>
        </w:rPr>
        <w:t xml:space="preserve">downlink </w:t>
      </w:r>
      <w:r>
        <w:rPr>
          <w:b w:val="0"/>
          <w:sz w:val="22"/>
          <w:szCs w:val="22"/>
          <w:lang w:val="en-US"/>
        </w:rPr>
        <w:t>physical channels use this new reference signal for NB-</w:t>
      </w:r>
      <w:proofErr w:type="spellStart"/>
      <w:r>
        <w:rPr>
          <w:b w:val="0"/>
          <w:sz w:val="22"/>
          <w:szCs w:val="22"/>
          <w:lang w:val="en-US"/>
        </w:rPr>
        <w:t>IoT</w:t>
      </w:r>
      <w:proofErr w:type="spellEnd"/>
      <w:r>
        <w:rPr>
          <w:b w:val="0"/>
          <w:sz w:val="22"/>
          <w:szCs w:val="22"/>
          <w:lang w:val="en-US"/>
        </w:rPr>
        <w:t>.</w:t>
      </w:r>
    </w:p>
    <w:p w14:paraId="6BC67448" w14:textId="03A9CA90" w:rsidR="006323CB" w:rsidRDefault="00B33780" w:rsidP="0038785A">
      <w:pPr>
        <w:pStyle w:val="LGTdoc1"/>
        <w:spacing w:beforeLines="0" w:before="120" w:after="220" w:afterAutospacing="0"/>
        <w:rPr>
          <w:b w:val="0"/>
          <w:sz w:val="22"/>
          <w:szCs w:val="22"/>
          <w:lang w:val="en-US"/>
        </w:rPr>
      </w:pPr>
      <w:r>
        <w:rPr>
          <w:b w:val="0"/>
          <w:sz w:val="22"/>
          <w:szCs w:val="22"/>
          <w:lang w:val="en-US"/>
        </w:rPr>
        <w:t xml:space="preserve">Even with the addition of this new </w:t>
      </w:r>
      <w:r w:rsidR="009D7C13">
        <w:rPr>
          <w:b w:val="0"/>
          <w:sz w:val="22"/>
          <w:szCs w:val="22"/>
          <w:lang w:val="en-US"/>
        </w:rPr>
        <w:t xml:space="preserve">reference signal, </w:t>
      </w:r>
      <w:r w:rsidR="00464483">
        <w:rPr>
          <w:b w:val="0"/>
          <w:sz w:val="22"/>
          <w:szCs w:val="22"/>
          <w:lang w:val="en-US"/>
        </w:rPr>
        <w:t>it would be beneficial to enable the use of wideband CRS as additional pilots for channel estimation and tracking in in-band deployments. The presence of additional reference signals can increase the channel estimation accuracy, which is especially important in low SNR environments like the ones expected in NB-</w:t>
      </w:r>
      <w:proofErr w:type="spellStart"/>
      <w:r w:rsidR="00464483">
        <w:rPr>
          <w:b w:val="0"/>
          <w:sz w:val="22"/>
          <w:szCs w:val="22"/>
          <w:lang w:val="en-US"/>
        </w:rPr>
        <w:t>IoT</w:t>
      </w:r>
      <w:proofErr w:type="spellEnd"/>
      <w:r w:rsidR="00464483">
        <w:rPr>
          <w:b w:val="0"/>
          <w:sz w:val="22"/>
          <w:szCs w:val="22"/>
          <w:lang w:val="en-US"/>
        </w:rPr>
        <w:t xml:space="preserve"> in-band deployments. As the NB-CRS and wideband CRS might have different PSD, the power difference between these two can be explicitly signaled in some broadcast channel (e.g. SIB) or can be blindly estimated by the UE. </w:t>
      </w:r>
    </w:p>
    <w:bookmarkEnd w:id="0"/>
    <w:bookmarkEnd w:id="1"/>
    <w:p w14:paraId="193194C3" w14:textId="77777777" w:rsidR="00CD55C1" w:rsidRDefault="00CD55C1" w:rsidP="00CD55C1">
      <w:pPr>
        <w:pStyle w:val="LGTdoc1"/>
        <w:spacing w:beforeLines="0" w:before="120" w:after="220" w:afterAutospacing="0"/>
        <w:rPr>
          <w:b w:val="0"/>
          <w:sz w:val="22"/>
          <w:szCs w:val="22"/>
          <w:lang w:val="en-US"/>
        </w:rPr>
      </w:pPr>
      <w:r w:rsidRPr="00173008">
        <w:rPr>
          <w:sz w:val="22"/>
          <w:szCs w:val="22"/>
          <w:u w:val="single"/>
          <w:lang w:val="en-US"/>
        </w:rPr>
        <w:t>Proposal 2:</w:t>
      </w:r>
      <w:r>
        <w:rPr>
          <w:b w:val="0"/>
          <w:sz w:val="22"/>
          <w:szCs w:val="22"/>
          <w:u w:val="single"/>
          <w:lang w:val="en-US"/>
        </w:rPr>
        <w:t xml:space="preserve"> </w:t>
      </w:r>
      <w:r>
        <w:rPr>
          <w:b w:val="0"/>
          <w:sz w:val="22"/>
          <w:szCs w:val="22"/>
          <w:lang w:val="en-US"/>
        </w:rPr>
        <w:t xml:space="preserve">Enable the possibility of using legacy CRS for channel estimation in in-band deployments by indicating the NB-IOT RB location within a wider bandwidth. </w:t>
      </w:r>
    </w:p>
    <w:p w14:paraId="047E4DCE" w14:textId="3DD817B9" w:rsidR="00546516" w:rsidRPr="00546516" w:rsidRDefault="00546516" w:rsidP="000D2BF7">
      <w:pPr>
        <w:pStyle w:val="LGTdoc1"/>
        <w:numPr>
          <w:ilvl w:val="1"/>
          <w:numId w:val="3"/>
        </w:numPr>
        <w:spacing w:beforeLines="0" w:before="120" w:after="220" w:afterAutospacing="0"/>
        <w:rPr>
          <w:b w:val="0"/>
          <w:sz w:val="22"/>
          <w:szCs w:val="22"/>
          <w:lang w:val="en-US"/>
        </w:rPr>
      </w:pPr>
      <w:r w:rsidRPr="00546516">
        <w:rPr>
          <w:rFonts w:ascii="Arial" w:hAnsi="Arial" w:cs="Arial"/>
          <w:lang w:val="en-US"/>
        </w:rPr>
        <w:lastRenderedPageBreak/>
        <w:t>Antenna virtualization</w:t>
      </w:r>
      <w:r>
        <w:rPr>
          <w:rFonts w:ascii="Arial" w:hAnsi="Arial" w:cs="Arial"/>
          <w:lang w:val="en-US"/>
        </w:rPr>
        <w:t xml:space="preserve"> for 4Tx </w:t>
      </w:r>
      <w:proofErr w:type="spellStart"/>
      <w:r>
        <w:rPr>
          <w:rFonts w:ascii="Arial" w:hAnsi="Arial" w:cs="Arial"/>
          <w:lang w:val="en-US"/>
        </w:rPr>
        <w:t>eNB</w:t>
      </w:r>
      <w:proofErr w:type="spellEnd"/>
    </w:p>
    <w:p w14:paraId="60C51BB4" w14:textId="22DB7425" w:rsidR="0038785A" w:rsidRDefault="00816A95" w:rsidP="0052060A">
      <w:pPr>
        <w:pStyle w:val="LGTdoc1"/>
        <w:spacing w:beforeLines="0" w:before="120" w:after="220" w:afterAutospacing="0"/>
        <w:rPr>
          <w:b w:val="0"/>
          <w:sz w:val="22"/>
          <w:szCs w:val="22"/>
          <w:lang w:val="en-US"/>
        </w:rPr>
      </w:pPr>
      <w:r>
        <w:rPr>
          <w:b w:val="0"/>
          <w:sz w:val="22"/>
          <w:szCs w:val="22"/>
          <w:lang w:val="en-US"/>
        </w:rPr>
        <w:t xml:space="preserve">When reusing the legacy CRS, there has to be some predefined mapping between the CRS antenna ports and NB-CRS antenna ports. For example, for the case of two DL </w:t>
      </w:r>
      <w:proofErr w:type="spellStart"/>
      <w:r>
        <w:rPr>
          <w:b w:val="0"/>
          <w:sz w:val="22"/>
          <w:szCs w:val="22"/>
          <w:lang w:val="en-US"/>
        </w:rPr>
        <w:t>tx</w:t>
      </w:r>
      <w:proofErr w:type="spellEnd"/>
      <w:r>
        <w:rPr>
          <w:b w:val="0"/>
          <w:sz w:val="22"/>
          <w:szCs w:val="22"/>
          <w:lang w:val="en-US"/>
        </w:rPr>
        <w:t xml:space="preserve"> antennas, </w:t>
      </w:r>
      <w:r w:rsidR="00F55A00">
        <w:rPr>
          <w:b w:val="0"/>
          <w:sz w:val="22"/>
          <w:szCs w:val="22"/>
          <w:lang w:val="en-US"/>
        </w:rPr>
        <w:t>two new ports NB-0 and NB-1 can be fixed to be the same as CRS port 0 and port 1 (up to a scaling value). For in-band deployments with 4 CRS ports, however, this mapping can be more complicated for several reasons:</w:t>
      </w:r>
    </w:p>
    <w:p w14:paraId="6176BA71" w14:textId="7C9064AB" w:rsidR="00F55A00" w:rsidRDefault="00F55A00" w:rsidP="00F55A00">
      <w:pPr>
        <w:pStyle w:val="LGTdoc1"/>
        <w:numPr>
          <w:ilvl w:val="0"/>
          <w:numId w:val="38"/>
        </w:numPr>
        <w:spacing w:beforeLines="0" w:before="120" w:after="220" w:afterAutospacing="0"/>
        <w:rPr>
          <w:b w:val="0"/>
          <w:sz w:val="22"/>
          <w:szCs w:val="22"/>
          <w:lang w:val="en-US"/>
        </w:rPr>
      </w:pPr>
      <w:r>
        <w:rPr>
          <w:b w:val="0"/>
          <w:sz w:val="22"/>
          <w:szCs w:val="22"/>
          <w:lang w:val="en-US"/>
        </w:rPr>
        <w:t>NB-</w:t>
      </w:r>
      <w:proofErr w:type="spellStart"/>
      <w:r>
        <w:rPr>
          <w:b w:val="0"/>
          <w:sz w:val="22"/>
          <w:szCs w:val="22"/>
          <w:lang w:val="en-US"/>
        </w:rPr>
        <w:t>IoT</w:t>
      </w:r>
      <w:proofErr w:type="spellEnd"/>
      <w:r>
        <w:rPr>
          <w:b w:val="0"/>
          <w:sz w:val="22"/>
          <w:szCs w:val="22"/>
          <w:lang w:val="en-US"/>
        </w:rPr>
        <w:t xml:space="preserve"> uses a maximum of 2 DL </w:t>
      </w:r>
      <w:proofErr w:type="spellStart"/>
      <w:proofErr w:type="gramStart"/>
      <w:r>
        <w:rPr>
          <w:b w:val="0"/>
          <w:sz w:val="22"/>
          <w:szCs w:val="22"/>
          <w:lang w:val="en-US"/>
        </w:rPr>
        <w:t>tx</w:t>
      </w:r>
      <w:proofErr w:type="spellEnd"/>
      <w:proofErr w:type="gramEnd"/>
      <w:r>
        <w:rPr>
          <w:b w:val="0"/>
          <w:sz w:val="22"/>
          <w:szCs w:val="22"/>
          <w:lang w:val="en-US"/>
        </w:rPr>
        <w:t xml:space="preserve"> antennas. Supporting 4 DL </w:t>
      </w:r>
      <w:proofErr w:type="spellStart"/>
      <w:proofErr w:type="gramStart"/>
      <w:r>
        <w:rPr>
          <w:b w:val="0"/>
          <w:sz w:val="22"/>
          <w:szCs w:val="22"/>
          <w:lang w:val="en-US"/>
        </w:rPr>
        <w:t>tx</w:t>
      </w:r>
      <w:proofErr w:type="spellEnd"/>
      <w:proofErr w:type="gramEnd"/>
      <w:r>
        <w:rPr>
          <w:b w:val="0"/>
          <w:sz w:val="22"/>
          <w:szCs w:val="22"/>
          <w:lang w:val="en-US"/>
        </w:rPr>
        <w:t xml:space="preserve"> antennas would require increasing the number of NB-CRS tones. Also, this additional degree of diversity will only be beneficial in a limited number of cases (e.g. high SNR).</w:t>
      </w:r>
    </w:p>
    <w:p w14:paraId="4CE8083A" w14:textId="1902BB19" w:rsidR="00F55A00" w:rsidRDefault="00F55A00" w:rsidP="00F55A00">
      <w:pPr>
        <w:pStyle w:val="LGTdoc1"/>
        <w:numPr>
          <w:ilvl w:val="0"/>
          <w:numId w:val="38"/>
        </w:numPr>
        <w:spacing w:beforeLines="0" w:before="120" w:after="220" w:afterAutospacing="0"/>
        <w:rPr>
          <w:b w:val="0"/>
          <w:sz w:val="22"/>
          <w:szCs w:val="22"/>
          <w:lang w:val="en-US"/>
        </w:rPr>
      </w:pPr>
      <w:r>
        <w:rPr>
          <w:b w:val="0"/>
          <w:sz w:val="22"/>
          <w:szCs w:val="22"/>
          <w:lang w:val="en-US"/>
        </w:rPr>
        <w:t>Even when the NB-</w:t>
      </w:r>
      <w:proofErr w:type="spellStart"/>
      <w:r>
        <w:rPr>
          <w:b w:val="0"/>
          <w:sz w:val="22"/>
          <w:szCs w:val="22"/>
          <w:lang w:val="en-US"/>
        </w:rPr>
        <w:t>IoT</w:t>
      </w:r>
      <w:proofErr w:type="spellEnd"/>
      <w:r>
        <w:rPr>
          <w:b w:val="0"/>
          <w:sz w:val="22"/>
          <w:szCs w:val="22"/>
          <w:lang w:val="en-US"/>
        </w:rPr>
        <w:t xml:space="preserve"> system uses only 2 DL antenna ports, it would be beneficial for the </w:t>
      </w:r>
      <w:proofErr w:type="spellStart"/>
      <w:r>
        <w:rPr>
          <w:b w:val="0"/>
          <w:sz w:val="22"/>
          <w:szCs w:val="22"/>
          <w:lang w:val="en-US"/>
        </w:rPr>
        <w:t>eNB</w:t>
      </w:r>
      <w:proofErr w:type="spellEnd"/>
      <w:r>
        <w:rPr>
          <w:b w:val="0"/>
          <w:sz w:val="22"/>
          <w:szCs w:val="22"/>
          <w:lang w:val="en-US"/>
        </w:rPr>
        <w:t xml:space="preserve"> to use the 4 physical antennas for transmission. </w:t>
      </w:r>
      <w:r w:rsidR="00B37E24">
        <w:rPr>
          <w:b w:val="0"/>
          <w:sz w:val="22"/>
          <w:szCs w:val="22"/>
          <w:lang w:val="en-US"/>
        </w:rPr>
        <w:t xml:space="preserve">The </w:t>
      </w:r>
      <w:proofErr w:type="spellStart"/>
      <w:r w:rsidR="00B37E24">
        <w:rPr>
          <w:b w:val="0"/>
          <w:sz w:val="22"/>
          <w:szCs w:val="22"/>
          <w:lang w:val="en-US"/>
        </w:rPr>
        <w:t>eNB</w:t>
      </w:r>
      <w:proofErr w:type="spellEnd"/>
      <w:r w:rsidR="00B37E24">
        <w:rPr>
          <w:b w:val="0"/>
          <w:sz w:val="22"/>
          <w:szCs w:val="22"/>
          <w:lang w:val="en-US"/>
        </w:rPr>
        <w:t xml:space="preserve"> can typically transmit full power signal only if all existing ports participate in the data transmission. </w:t>
      </w:r>
    </w:p>
    <w:p w14:paraId="5B473BBE" w14:textId="14EFFFFB" w:rsidR="00963BD6" w:rsidRDefault="00963BD6" w:rsidP="00963BD6">
      <w:pPr>
        <w:pStyle w:val="LGTdoc1"/>
        <w:spacing w:beforeLines="0" w:before="120" w:after="220" w:afterAutospacing="0"/>
        <w:rPr>
          <w:b w:val="0"/>
          <w:sz w:val="22"/>
          <w:szCs w:val="22"/>
          <w:lang w:val="en-US"/>
        </w:rPr>
      </w:pPr>
      <w:r>
        <w:rPr>
          <w:b w:val="0"/>
          <w:sz w:val="22"/>
          <w:szCs w:val="22"/>
          <w:lang w:val="en-US"/>
        </w:rPr>
        <w:t xml:space="preserve">For these reasons, we propose to use </w:t>
      </w:r>
      <w:r>
        <w:rPr>
          <w:b w:val="0"/>
          <w:i/>
          <w:sz w:val="22"/>
          <w:szCs w:val="22"/>
          <w:lang w:val="en-US"/>
        </w:rPr>
        <w:t>antenna port virtualization</w:t>
      </w:r>
      <w:r>
        <w:rPr>
          <w:b w:val="0"/>
          <w:sz w:val="22"/>
          <w:szCs w:val="22"/>
          <w:lang w:val="en-US"/>
        </w:rPr>
        <w:t xml:space="preserve"> for the case of having 4 DL </w:t>
      </w:r>
      <w:proofErr w:type="spellStart"/>
      <w:proofErr w:type="gramStart"/>
      <w:r>
        <w:rPr>
          <w:b w:val="0"/>
          <w:sz w:val="22"/>
          <w:szCs w:val="22"/>
          <w:lang w:val="en-US"/>
        </w:rPr>
        <w:t>tx</w:t>
      </w:r>
      <w:proofErr w:type="spellEnd"/>
      <w:proofErr w:type="gramEnd"/>
      <w:r>
        <w:rPr>
          <w:b w:val="0"/>
          <w:sz w:val="22"/>
          <w:szCs w:val="22"/>
          <w:lang w:val="en-US"/>
        </w:rPr>
        <w:t xml:space="preserve"> antennas. For example, NB-CRS antenna port 0 can be transmitted over the CRS antenna ports 0 and 2, and NB-CRS port 1 over CRS AP 1 and 3 (see Figure 1 for an example). With this approach, the </w:t>
      </w:r>
      <w:proofErr w:type="spellStart"/>
      <w:r>
        <w:rPr>
          <w:b w:val="0"/>
          <w:sz w:val="22"/>
          <w:szCs w:val="22"/>
          <w:lang w:val="en-US"/>
        </w:rPr>
        <w:t>eNB</w:t>
      </w:r>
      <w:proofErr w:type="spellEnd"/>
      <w:r>
        <w:rPr>
          <w:b w:val="0"/>
          <w:sz w:val="22"/>
          <w:szCs w:val="22"/>
          <w:lang w:val="en-US"/>
        </w:rPr>
        <w:t xml:space="preserve"> can transmit with full power, and the NB-</w:t>
      </w:r>
      <w:proofErr w:type="spellStart"/>
      <w:r>
        <w:rPr>
          <w:b w:val="0"/>
          <w:sz w:val="22"/>
          <w:szCs w:val="22"/>
          <w:lang w:val="en-US"/>
        </w:rPr>
        <w:t>IoT</w:t>
      </w:r>
      <w:proofErr w:type="spellEnd"/>
      <w:r>
        <w:rPr>
          <w:b w:val="0"/>
          <w:sz w:val="22"/>
          <w:szCs w:val="22"/>
          <w:lang w:val="en-US"/>
        </w:rPr>
        <w:t xml:space="preserve"> UE can use all the CRS tones for channel estimation. Note that the </w:t>
      </w:r>
      <w:proofErr w:type="spellStart"/>
      <w:r>
        <w:rPr>
          <w:b w:val="0"/>
          <w:sz w:val="22"/>
          <w:szCs w:val="22"/>
          <w:lang w:val="en-US"/>
        </w:rPr>
        <w:t>precoders</w:t>
      </w:r>
      <w:proofErr w:type="spellEnd"/>
      <w:r>
        <w:rPr>
          <w:b w:val="0"/>
          <w:sz w:val="22"/>
          <w:szCs w:val="22"/>
          <w:lang w:val="en-US"/>
        </w:rPr>
        <w:t xml:space="preserve"> </w:t>
      </w:r>
      <w:proofErr w:type="spellStart"/>
      <w:r>
        <w:rPr>
          <w:b w:val="0"/>
          <w:i/>
          <w:sz w:val="22"/>
          <w:szCs w:val="22"/>
          <w:lang w:val="en-US"/>
        </w:rPr>
        <w:t>w</w:t>
      </w:r>
      <w:r>
        <w:rPr>
          <w:b w:val="0"/>
          <w:sz w:val="22"/>
          <w:szCs w:val="22"/>
          <w:lang w:val="en-US"/>
        </w:rPr>
        <w:t xml:space="preserve"> in</w:t>
      </w:r>
      <w:proofErr w:type="spellEnd"/>
      <w:r>
        <w:rPr>
          <w:b w:val="0"/>
          <w:sz w:val="22"/>
          <w:szCs w:val="22"/>
          <w:lang w:val="en-US"/>
        </w:rPr>
        <w:t xml:space="preserve"> Figure 1 need to be known by the UE to perform this channel estimation. They can be fixed in the spec or signaled in a broadcast channel (e.g. SIB).</w:t>
      </w:r>
    </w:p>
    <w:p w14:paraId="45AC1D47" w14:textId="77777777" w:rsidR="00CD55C1" w:rsidRPr="00337FF9" w:rsidRDefault="00CD55C1" w:rsidP="00CD55C1">
      <w:pPr>
        <w:pStyle w:val="LGTdoc1"/>
        <w:spacing w:beforeLines="0" w:before="120" w:after="220" w:afterAutospacing="0"/>
        <w:rPr>
          <w:b w:val="0"/>
          <w:sz w:val="22"/>
          <w:szCs w:val="22"/>
        </w:rPr>
      </w:pPr>
      <w:r w:rsidRPr="00173008">
        <w:rPr>
          <w:sz w:val="22"/>
          <w:szCs w:val="22"/>
          <w:u w:val="single"/>
          <w:lang w:val="en-US"/>
        </w:rPr>
        <w:t>Proposal 3:</w:t>
      </w:r>
      <w:r>
        <w:rPr>
          <w:b w:val="0"/>
          <w:sz w:val="22"/>
          <w:szCs w:val="22"/>
          <w:lang w:val="en-US"/>
        </w:rPr>
        <w:t xml:space="preserve"> NB-</w:t>
      </w:r>
      <w:proofErr w:type="spellStart"/>
      <w:r>
        <w:rPr>
          <w:b w:val="0"/>
          <w:sz w:val="22"/>
          <w:szCs w:val="22"/>
          <w:lang w:val="en-US"/>
        </w:rPr>
        <w:t>IoT</w:t>
      </w:r>
      <w:proofErr w:type="spellEnd"/>
      <w:r>
        <w:rPr>
          <w:b w:val="0"/>
          <w:sz w:val="22"/>
          <w:szCs w:val="22"/>
          <w:lang w:val="en-US"/>
        </w:rPr>
        <w:t xml:space="preserve"> supports only transmission schemes with 1 and 2 DL </w:t>
      </w:r>
      <w:proofErr w:type="spellStart"/>
      <w:proofErr w:type="gramStart"/>
      <w:r>
        <w:rPr>
          <w:b w:val="0"/>
          <w:sz w:val="22"/>
          <w:szCs w:val="22"/>
          <w:lang w:val="en-US"/>
        </w:rPr>
        <w:t>tx</w:t>
      </w:r>
      <w:proofErr w:type="spellEnd"/>
      <w:proofErr w:type="gramEnd"/>
      <w:r>
        <w:rPr>
          <w:b w:val="0"/>
          <w:sz w:val="22"/>
          <w:szCs w:val="22"/>
          <w:lang w:val="en-US"/>
        </w:rPr>
        <w:t xml:space="preserve"> antenna ports. For in-band deployment with 4 </w:t>
      </w:r>
      <w:proofErr w:type="spellStart"/>
      <w:proofErr w:type="gramStart"/>
      <w:r>
        <w:rPr>
          <w:b w:val="0"/>
          <w:sz w:val="22"/>
          <w:szCs w:val="22"/>
          <w:lang w:val="en-US"/>
        </w:rPr>
        <w:t>Tx</w:t>
      </w:r>
      <w:proofErr w:type="spellEnd"/>
      <w:proofErr w:type="gramEnd"/>
      <w:r>
        <w:rPr>
          <w:b w:val="0"/>
          <w:sz w:val="22"/>
          <w:szCs w:val="22"/>
          <w:lang w:val="en-US"/>
        </w:rPr>
        <w:t xml:space="preserve"> antennas, the 4 ports are </w:t>
      </w:r>
      <w:r>
        <w:rPr>
          <w:b w:val="0"/>
          <w:i/>
          <w:sz w:val="22"/>
          <w:szCs w:val="22"/>
          <w:lang w:val="en-US"/>
        </w:rPr>
        <w:t>virtualized</w:t>
      </w:r>
      <w:r>
        <w:rPr>
          <w:b w:val="0"/>
          <w:sz w:val="22"/>
          <w:szCs w:val="22"/>
          <w:lang w:val="en-US"/>
        </w:rPr>
        <w:t xml:space="preserve"> to 2 NB-</w:t>
      </w:r>
      <w:proofErr w:type="spellStart"/>
      <w:r>
        <w:rPr>
          <w:b w:val="0"/>
          <w:sz w:val="22"/>
          <w:szCs w:val="22"/>
          <w:lang w:val="en-US"/>
        </w:rPr>
        <w:t>IoT</w:t>
      </w:r>
      <w:proofErr w:type="spellEnd"/>
      <w:r>
        <w:rPr>
          <w:b w:val="0"/>
          <w:sz w:val="22"/>
          <w:szCs w:val="22"/>
          <w:lang w:val="en-US"/>
        </w:rPr>
        <w:t xml:space="preserve"> DL antenna ports with known weights.</w:t>
      </w:r>
    </w:p>
    <w:p w14:paraId="1F816238" w14:textId="7246F0E5" w:rsidR="00963BD6" w:rsidRDefault="00963BD6" w:rsidP="00963BD6">
      <w:pPr>
        <w:pStyle w:val="LGTdoc1"/>
        <w:keepNext/>
        <w:spacing w:beforeLines="0" w:before="120" w:after="220" w:afterAutospacing="0"/>
        <w:jc w:val="center"/>
      </w:pPr>
      <w:r w:rsidRPr="00791823">
        <w:rPr>
          <w:sz w:val="22"/>
          <w:szCs w:val="22"/>
          <w:lang w:val="en-US"/>
        </w:rPr>
        <w:object w:dxaOrig="11595" w:dyaOrig="13737" w14:anchorId="622B4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345pt" o:ole="">
            <v:imagedata r:id="rId14" o:title=""/>
          </v:shape>
          <o:OLEObject Type="Embed" ProgID="Visio.Drawing.11" ShapeID="_x0000_i1025" DrawAspect="Content" ObjectID="_1516205214" r:id="rId15"/>
        </w:object>
      </w:r>
    </w:p>
    <w:p w14:paraId="16D838C0" w14:textId="563A1AF3" w:rsidR="00963BD6" w:rsidRDefault="00963BD6" w:rsidP="00963BD6">
      <w:pPr>
        <w:pStyle w:val="Caption"/>
        <w:jc w:val="center"/>
        <w:rPr>
          <w:b w:val="0"/>
          <w:sz w:val="22"/>
          <w:szCs w:val="22"/>
          <w:lang w:val="en-US"/>
        </w:rPr>
      </w:pPr>
      <w:r>
        <w:t xml:space="preserve">Figure </w:t>
      </w:r>
      <w:r>
        <w:fldChar w:fldCharType="begin"/>
      </w:r>
      <w:r>
        <w:instrText xml:space="preserve"> SEQ Figure \* ARABIC </w:instrText>
      </w:r>
      <w:r>
        <w:fldChar w:fldCharType="separate"/>
      </w:r>
      <w:r w:rsidR="006323CB">
        <w:rPr>
          <w:noProof/>
        </w:rPr>
        <w:t>1</w:t>
      </w:r>
      <w:r>
        <w:fldChar w:fldCharType="end"/>
      </w:r>
      <w:r>
        <w:t xml:space="preserve"> Virtualization of NB-CRS ports over wideband CRS ports</w:t>
      </w:r>
    </w:p>
    <w:p w14:paraId="52E879E3" w14:textId="29214823" w:rsidR="00BD62D8" w:rsidRPr="006323CB" w:rsidRDefault="00BD62D8" w:rsidP="00BD62D8">
      <w:pPr>
        <w:pStyle w:val="LGTdoc1"/>
        <w:spacing w:beforeLines="0" w:before="120" w:after="220" w:afterAutospacing="0"/>
        <w:rPr>
          <w:b w:val="0"/>
          <w:sz w:val="22"/>
          <w:szCs w:val="22"/>
        </w:rPr>
      </w:pPr>
    </w:p>
    <w:p w14:paraId="1471DA3A" w14:textId="0B85678D" w:rsidR="00E900A2" w:rsidRDefault="00E900A2" w:rsidP="00E900A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Summary of proposals</w:t>
      </w:r>
    </w:p>
    <w:p w14:paraId="1E35D657" w14:textId="616F5208" w:rsidR="00FA1F67" w:rsidRDefault="00FA1F67" w:rsidP="00FA1F67">
      <w:pPr>
        <w:pStyle w:val="LGTdoc1"/>
        <w:spacing w:beforeLines="0" w:before="120" w:after="220" w:afterAutospacing="0"/>
        <w:rPr>
          <w:b w:val="0"/>
          <w:sz w:val="22"/>
          <w:szCs w:val="22"/>
          <w:lang w:val="en-US"/>
        </w:rPr>
      </w:pPr>
      <w:r w:rsidRPr="00173008">
        <w:rPr>
          <w:sz w:val="22"/>
          <w:szCs w:val="22"/>
          <w:u w:val="single"/>
          <w:lang w:val="en-US"/>
        </w:rPr>
        <w:t>Proposal 1:</w:t>
      </w:r>
      <w:r w:rsidRPr="0038785A">
        <w:rPr>
          <w:b w:val="0"/>
          <w:sz w:val="22"/>
          <w:szCs w:val="22"/>
          <w:lang w:val="en-US"/>
        </w:rPr>
        <w:t xml:space="preserve"> Introduce new cell specific reference signal for NB-</w:t>
      </w:r>
      <w:proofErr w:type="spellStart"/>
      <w:r w:rsidRPr="0038785A">
        <w:rPr>
          <w:b w:val="0"/>
          <w:sz w:val="22"/>
          <w:szCs w:val="22"/>
          <w:lang w:val="en-US"/>
        </w:rPr>
        <w:t>IoT</w:t>
      </w:r>
      <w:proofErr w:type="spellEnd"/>
      <w:r>
        <w:rPr>
          <w:b w:val="0"/>
          <w:sz w:val="22"/>
          <w:szCs w:val="22"/>
          <w:lang w:val="en-US"/>
        </w:rPr>
        <w:t>. All downlink physical channels use this new reference signal for NB-</w:t>
      </w:r>
      <w:proofErr w:type="spellStart"/>
      <w:r>
        <w:rPr>
          <w:b w:val="0"/>
          <w:sz w:val="22"/>
          <w:szCs w:val="22"/>
          <w:lang w:val="en-US"/>
        </w:rPr>
        <w:t>IoT</w:t>
      </w:r>
      <w:proofErr w:type="spellEnd"/>
      <w:r>
        <w:rPr>
          <w:b w:val="0"/>
          <w:sz w:val="22"/>
          <w:szCs w:val="22"/>
          <w:lang w:val="en-US"/>
        </w:rPr>
        <w:t>.</w:t>
      </w:r>
    </w:p>
    <w:p w14:paraId="66AF2378" w14:textId="1692034D" w:rsidR="00FA1F67" w:rsidRDefault="00FA1F67" w:rsidP="00FA1F67">
      <w:pPr>
        <w:pStyle w:val="LGTdoc1"/>
        <w:spacing w:beforeLines="0" w:before="120" w:after="220" w:afterAutospacing="0"/>
        <w:rPr>
          <w:b w:val="0"/>
          <w:sz w:val="22"/>
          <w:szCs w:val="22"/>
          <w:lang w:val="en-US"/>
        </w:rPr>
      </w:pPr>
      <w:r w:rsidRPr="00173008">
        <w:rPr>
          <w:sz w:val="22"/>
          <w:szCs w:val="22"/>
          <w:u w:val="single"/>
          <w:lang w:val="en-US"/>
        </w:rPr>
        <w:t>Proposal 2:</w:t>
      </w:r>
      <w:r>
        <w:rPr>
          <w:b w:val="0"/>
          <w:sz w:val="22"/>
          <w:szCs w:val="22"/>
          <w:u w:val="single"/>
          <w:lang w:val="en-US"/>
        </w:rPr>
        <w:t xml:space="preserve"> </w:t>
      </w:r>
      <w:r>
        <w:rPr>
          <w:b w:val="0"/>
          <w:sz w:val="22"/>
          <w:szCs w:val="22"/>
          <w:lang w:val="en-US"/>
        </w:rPr>
        <w:t>Enable the possibility of using legacy CRS for channel estimation in in-band deployments</w:t>
      </w:r>
      <w:r w:rsidR="0056074B">
        <w:rPr>
          <w:b w:val="0"/>
          <w:sz w:val="22"/>
          <w:szCs w:val="22"/>
          <w:lang w:val="en-US"/>
        </w:rPr>
        <w:t xml:space="preserve"> by indicating the NB-IOT RB location within a wider bandwidth</w:t>
      </w:r>
      <w:r>
        <w:rPr>
          <w:b w:val="0"/>
          <w:sz w:val="22"/>
          <w:szCs w:val="22"/>
          <w:lang w:val="en-US"/>
        </w:rPr>
        <w:t xml:space="preserve">. </w:t>
      </w:r>
    </w:p>
    <w:p w14:paraId="715D9AE5" w14:textId="068E2ACF" w:rsidR="00FA1F67" w:rsidRPr="00337FF9" w:rsidRDefault="00FA1F67" w:rsidP="00FA1F67">
      <w:pPr>
        <w:pStyle w:val="LGTdoc1"/>
        <w:spacing w:beforeLines="0" w:before="120" w:after="220" w:afterAutospacing="0"/>
        <w:rPr>
          <w:b w:val="0"/>
          <w:sz w:val="22"/>
          <w:szCs w:val="22"/>
        </w:rPr>
      </w:pPr>
      <w:r w:rsidRPr="00173008">
        <w:rPr>
          <w:sz w:val="22"/>
          <w:szCs w:val="22"/>
          <w:u w:val="single"/>
          <w:lang w:val="en-US"/>
        </w:rPr>
        <w:t>Proposal 3:</w:t>
      </w:r>
      <w:r>
        <w:rPr>
          <w:b w:val="0"/>
          <w:sz w:val="22"/>
          <w:szCs w:val="22"/>
          <w:lang w:val="en-US"/>
        </w:rPr>
        <w:t xml:space="preserve"> NB-</w:t>
      </w:r>
      <w:proofErr w:type="spellStart"/>
      <w:r>
        <w:rPr>
          <w:b w:val="0"/>
          <w:sz w:val="22"/>
          <w:szCs w:val="22"/>
          <w:lang w:val="en-US"/>
        </w:rPr>
        <w:t>IoT</w:t>
      </w:r>
      <w:proofErr w:type="spellEnd"/>
      <w:r>
        <w:rPr>
          <w:b w:val="0"/>
          <w:sz w:val="22"/>
          <w:szCs w:val="22"/>
          <w:lang w:val="en-US"/>
        </w:rPr>
        <w:t xml:space="preserve"> supports only transmission schemes with 1 and 2 DL </w:t>
      </w:r>
      <w:proofErr w:type="spellStart"/>
      <w:proofErr w:type="gramStart"/>
      <w:r>
        <w:rPr>
          <w:b w:val="0"/>
          <w:sz w:val="22"/>
          <w:szCs w:val="22"/>
          <w:lang w:val="en-US"/>
        </w:rPr>
        <w:t>tx</w:t>
      </w:r>
      <w:proofErr w:type="spellEnd"/>
      <w:proofErr w:type="gramEnd"/>
      <w:r>
        <w:rPr>
          <w:b w:val="0"/>
          <w:sz w:val="22"/>
          <w:szCs w:val="22"/>
          <w:lang w:val="en-US"/>
        </w:rPr>
        <w:t xml:space="preserve"> antenna ports. For in-band deployment with 4 </w:t>
      </w:r>
      <w:proofErr w:type="spellStart"/>
      <w:proofErr w:type="gramStart"/>
      <w:r>
        <w:rPr>
          <w:b w:val="0"/>
          <w:sz w:val="22"/>
          <w:szCs w:val="22"/>
          <w:lang w:val="en-US"/>
        </w:rPr>
        <w:t>Tx</w:t>
      </w:r>
      <w:proofErr w:type="spellEnd"/>
      <w:proofErr w:type="gramEnd"/>
      <w:r>
        <w:rPr>
          <w:b w:val="0"/>
          <w:sz w:val="22"/>
          <w:szCs w:val="22"/>
          <w:lang w:val="en-US"/>
        </w:rPr>
        <w:t xml:space="preserve"> antennas, the 4 ports are </w:t>
      </w:r>
      <w:r>
        <w:rPr>
          <w:b w:val="0"/>
          <w:i/>
          <w:sz w:val="22"/>
          <w:szCs w:val="22"/>
          <w:lang w:val="en-US"/>
        </w:rPr>
        <w:t>virtualized</w:t>
      </w:r>
      <w:r>
        <w:rPr>
          <w:b w:val="0"/>
          <w:sz w:val="22"/>
          <w:szCs w:val="22"/>
          <w:lang w:val="en-US"/>
        </w:rPr>
        <w:t xml:space="preserve"> to 2 NB-</w:t>
      </w:r>
      <w:proofErr w:type="spellStart"/>
      <w:r>
        <w:rPr>
          <w:b w:val="0"/>
          <w:sz w:val="22"/>
          <w:szCs w:val="22"/>
          <w:lang w:val="en-US"/>
        </w:rPr>
        <w:t>IoT</w:t>
      </w:r>
      <w:proofErr w:type="spellEnd"/>
      <w:r>
        <w:rPr>
          <w:b w:val="0"/>
          <w:sz w:val="22"/>
          <w:szCs w:val="22"/>
          <w:lang w:val="en-US"/>
        </w:rPr>
        <w:t xml:space="preserve"> DL antenna ports</w:t>
      </w:r>
      <w:r w:rsidR="0056074B">
        <w:rPr>
          <w:b w:val="0"/>
          <w:sz w:val="22"/>
          <w:szCs w:val="22"/>
          <w:lang w:val="en-US"/>
        </w:rPr>
        <w:t xml:space="preserve"> with known weights</w:t>
      </w:r>
      <w:r>
        <w:rPr>
          <w:b w:val="0"/>
          <w:sz w:val="22"/>
          <w:szCs w:val="22"/>
          <w:lang w:val="en-US"/>
        </w:rPr>
        <w:t>.</w:t>
      </w:r>
    </w:p>
    <w:sectPr w:rsidR="00FA1F67" w:rsidRPr="00337FF9"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A1129" w14:textId="77777777" w:rsidR="000B27DE" w:rsidRDefault="000B27DE">
      <w:r>
        <w:separator/>
      </w:r>
    </w:p>
  </w:endnote>
  <w:endnote w:type="continuationSeparator" w:id="0">
    <w:p w14:paraId="2B443C78" w14:textId="77777777" w:rsidR="000B27DE" w:rsidRDefault="000B27DE">
      <w:r>
        <w:continuationSeparator/>
      </w:r>
    </w:p>
  </w:endnote>
  <w:endnote w:type="continuationNotice" w:id="1">
    <w:p w14:paraId="244422B7" w14:textId="77777777" w:rsidR="000B27DE" w:rsidRDefault="000B27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415BB" w:rsidRDefault="004415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50093">
      <w:rPr>
        <w:rStyle w:val="PageNumber"/>
        <w:noProof/>
      </w:rPr>
      <w:t>3</w:t>
    </w:r>
    <w:r>
      <w:rPr>
        <w:rStyle w:val="PageNumber"/>
      </w:rPr>
      <w:fldChar w:fldCharType="end"/>
    </w:r>
  </w:p>
  <w:p w14:paraId="5BFA00B5" w14:textId="77777777" w:rsidR="004415BB" w:rsidRDefault="004415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7EA81" w14:textId="77777777" w:rsidR="000B27DE" w:rsidRDefault="000B27DE">
      <w:r>
        <w:separator/>
      </w:r>
    </w:p>
  </w:footnote>
  <w:footnote w:type="continuationSeparator" w:id="0">
    <w:p w14:paraId="3F289310" w14:textId="77777777" w:rsidR="000B27DE" w:rsidRDefault="000B27DE">
      <w:r>
        <w:continuationSeparator/>
      </w:r>
    </w:p>
  </w:footnote>
  <w:footnote w:type="continuationNotice" w:id="1">
    <w:p w14:paraId="688F2751" w14:textId="77777777" w:rsidR="000B27DE" w:rsidRDefault="000B27D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0"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9F7AC3"/>
    <w:multiLevelType w:val="hybridMultilevel"/>
    <w:tmpl w:val="D18C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035AA2"/>
    <w:multiLevelType w:val="multilevel"/>
    <w:tmpl w:val="F1A2861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1"/>
  </w:num>
  <w:num w:numId="3">
    <w:abstractNumId w:val="24"/>
  </w:num>
  <w:num w:numId="4">
    <w:abstractNumId w:val="39"/>
  </w:num>
  <w:num w:numId="5">
    <w:abstractNumId w:val="40"/>
  </w:num>
  <w:num w:numId="6">
    <w:abstractNumId w:val="29"/>
  </w:num>
  <w:num w:numId="7">
    <w:abstractNumId w:val="8"/>
  </w:num>
  <w:num w:numId="8">
    <w:abstractNumId w:val="2"/>
  </w:num>
  <w:num w:numId="9">
    <w:abstractNumId w:val="32"/>
  </w:num>
  <w:num w:numId="10">
    <w:abstractNumId w:val="17"/>
  </w:num>
  <w:num w:numId="11">
    <w:abstractNumId w:val="21"/>
  </w:num>
  <w:num w:numId="12">
    <w:abstractNumId w:val="7"/>
  </w:num>
  <w:num w:numId="13">
    <w:abstractNumId w:val="35"/>
  </w:num>
  <w:num w:numId="14">
    <w:abstractNumId w:val="22"/>
  </w:num>
  <w:num w:numId="15">
    <w:abstractNumId w:val="15"/>
  </w:num>
  <w:num w:numId="16">
    <w:abstractNumId w:val="33"/>
  </w:num>
  <w:num w:numId="17">
    <w:abstractNumId w:val="27"/>
  </w:num>
  <w:num w:numId="18">
    <w:abstractNumId w:val="20"/>
  </w:num>
  <w:num w:numId="19">
    <w:abstractNumId w:val="9"/>
  </w:num>
  <w:num w:numId="20">
    <w:abstractNumId w:val="10"/>
  </w:num>
  <w:num w:numId="21">
    <w:abstractNumId w:val="28"/>
  </w:num>
  <w:num w:numId="22">
    <w:abstractNumId w:val="3"/>
  </w:num>
  <w:num w:numId="23">
    <w:abstractNumId w:val="19"/>
  </w:num>
  <w:num w:numId="24">
    <w:abstractNumId w:val="25"/>
  </w:num>
  <w:num w:numId="25">
    <w:abstractNumId w:val="30"/>
  </w:num>
  <w:num w:numId="26">
    <w:abstractNumId w:val="6"/>
  </w:num>
  <w:num w:numId="27">
    <w:abstractNumId w:val="0"/>
  </w:num>
  <w:num w:numId="28">
    <w:abstractNumId w:val="34"/>
  </w:num>
  <w:num w:numId="29">
    <w:abstractNumId w:val="5"/>
  </w:num>
  <w:num w:numId="30">
    <w:abstractNumId w:val="36"/>
  </w:num>
  <w:num w:numId="31">
    <w:abstractNumId w:val="4"/>
  </w:num>
  <w:num w:numId="32">
    <w:abstractNumId w:val="18"/>
  </w:num>
  <w:num w:numId="33">
    <w:abstractNumId w:val="14"/>
  </w:num>
  <w:num w:numId="34">
    <w:abstractNumId w:val="37"/>
  </w:num>
  <w:num w:numId="35">
    <w:abstractNumId w:val="26"/>
  </w:num>
  <w:num w:numId="36">
    <w:abstractNumId w:val="12"/>
  </w:num>
  <w:num w:numId="37">
    <w:abstractNumId w:val="38"/>
  </w:num>
  <w:num w:numId="38">
    <w:abstractNumId w:val="16"/>
  </w:num>
  <w:num w:numId="39">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31"/>
  </w:num>
  <w:num w:numId="4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1FB"/>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7DE"/>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73A"/>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9DD"/>
    <w:rsid w:val="00161C73"/>
    <w:rsid w:val="001620F5"/>
    <w:rsid w:val="001623BA"/>
    <w:rsid w:val="00162478"/>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6F"/>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301"/>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516"/>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74B"/>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3CB"/>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7CB"/>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10BF"/>
    <w:rsid w:val="007C12FF"/>
    <w:rsid w:val="007C1611"/>
    <w:rsid w:val="007C1CC7"/>
    <w:rsid w:val="007C1E7A"/>
    <w:rsid w:val="007C25D4"/>
    <w:rsid w:val="007C29D3"/>
    <w:rsid w:val="007C2E2D"/>
    <w:rsid w:val="007C30A6"/>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3CF6"/>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8AC"/>
    <w:rsid w:val="00950093"/>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15F"/>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951"/>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2D8"/>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5C1"/>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B71"/>
    <w:rsid w:val="00D25E95"/>
    <w:rsid w:val="00D25EA9"/>
    <w:rsid w:val="00D26019"/>
    <w:rsid w:val="00D260B5"/>
    <w:rsid w:val="00D261AC"/>
    <w:rsid w:val="00D261F0"/>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D8F"/>
    <w:rsid w:val="00D8012C"/>
    <w:rsid w:val="00D802D3"/>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BB5"/>
    <w:rsid w:val="00E85E4E"/>
    <w:rsid w:val="00E8616F"/>
    <w:rsid w:val="00E86640"/>
    <w:rsid w:val="00E86ADC"/>
    <w:rsid w:val="00E86B0F"/>
    <w:rsid w:val="00E86EC9"/>
    <w:rsid w:val="00E8725E"/>
    <w:rsid w:val="00E872A9"/>
    <w:rsid w:val="00E873FE"/>
    <w:rsid w:val="00E87603"/>
    <w:rsid w:val="00E87CD8"/>
    <w:rsid w:val="00E900A2"/>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1F67"/>
    <w:rsid w:val="00FA24D9"/>
    <w:rsid w:val="00FA2B01"/>
    <w:rsid w:val="00FA2BA9"/>
    <w:rsid w:val="00FA2F21"/>
    <w:rsid w:val="00FA30CC"/>
    <w:rsid w:val="00FA35CF"/>
    <w:rsid w:val="00FA362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5ACTRJNS4X5K-3-3207</_dlc_DocId>
    <_dlc_DocIdUrl xmlns="09bf1062-b00c-4aa1-ba18-87ca9e63a56e">
      <Url>https://projects.qualcomm.com/sites/espresso/_layouts/15/DocIdRedir.aspx?ID=5ACTRJNS4X5K-3-3207</Url>
      <Description>5ACTRJNS4X5K-3-3207</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65C3CF9F-C34B-433E-8609-867BE9073E46}">
  <ds:schemaRefs>
    <ds:schemaRef ds:uri="http://schemas.openxmlformats.org/officeDocument/2006/bibliography"/>
  </ds:schemaRefs>
</ds:datastoreItem>
</file>

<file path=customXml/itemProps7.xml><?xml version="1.0" encoding="utf-8"?>
<ds:datastoreItem xmlns:ds="http://schemas.openxmlformats.org/officeDocument/2006/customXml" ds:itemID="{6E88CD26-3F8E-424D-95DA-1ECE3A8F1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752</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3</cp:revision>
  <cp:lastPrinted>2010-08-13T21:54:00Z</cp:lastPrinted>
  <dcterms:created xsi:type="dcterms:W3CDTF">2016-02-06T00:12:00Z</dcterms:created>
  <dcterms:modified xsi:type="dcterms:W3CDTF">2016-02-06T03:20:00Z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74956c63-cb98-42ca-a5de-f131c5f6957b</vt:lpwstr>
  </property>
</Properties>
</file>